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6413" w14:textId="59EBD758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20CEC">
        <w:rPr>
          <w:sz w:val="24"/>
          <w:szCs w:val="24"/>
        </w:rPr>
        <w:t>1</w:t>
      </w:r>
      <w:r w:rsidR="001C4539">
        <w:rPr>
          <w:sz w:val="24"/>
          <w:szCs w:val="24"/>
        </w:rPr>
        <w:t>1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7AF1864" w14:textId="629CDBB7" w:rsidR="00820CEC" w:rsidRDefault="00F25D8C" w:rsidP="00820CEC">
      <w:pPr>
        <w:tabs>
          <w:tab w:val="left" w:pos="851"/>
        </w:tabs>
        <w:spacing w:after="120"/>
        <w:jc w:val="both"/>
        <w:rPr>
          <w:sz w:val="24"/>
          <w:szCs w:val="24"/>
        </w:rPr>
      </w:pPr>
      <w:bookmarkStart w:id="0" w:name="_Hlk152226519"/>
      <w:bookmarkStart w:id="1" w:name="_Hlk147392184"/>
      <w:r>
        <w:rPr>
          <w:lang w:val="es-MX"/>
        </w:rPr>
        <w:tab/>
      </w:r>
      <w:bookmarkStart w:id="2" w:name="_Hlk162001236"/>
      <w:r w:rsidR="001C4539" w:rsidRPr="001C4539">
        <w:rPr>
          <w:sz w:val="24"/>
          <w:szCs w:val="24"/>
          <w:lang w:val="es-419"/>
        </w:rPr>
        <w:t>El lanzamiento del programa “Vínculos” perteneciente al Gobierno provincial</w:t>
      </w:r>
      <w:bookmarkEnd w:id="2"/>
      <w:r w:rsidR="001C4539">
        <w:rPr>
          <w:sz w:val="24"/>
          <w:szCs w:val="24"/>
          <w:lang w:val="es-419"/>
        </w:rPr>
        <w:t>,</w:t>
      </w:r>
      <w:r w:rsidR="00820CEC">
        <w:rPr>
          <w:sz w:val="24"/>
          <w:szCs w:val="24"/>
        </w:rPr>
        <w:t xml:space="preserve"> y</w:t>
      </w:r>
      <w:r w:rsidR="001C4539">
        <w:rPr>
          <w:sz w:val="24"/>
          <w:szCs w:val="24"/>
        </w:rPr>
        <w:t>;</w:t>
      </w:r>
    </w:p>
    <w:p w14:paraId="63475A04" w14:textId="77777777" w:rsidR="00820CEC" w:rsidRDefault="00820CEC" w:rsidP="00820CEC">
      <w:pPr>
        <w:tabs>
          <w:tab w:val="left" w:pos="993"/>
        </w:tabs>
        <w:jc w:val="both"/>
        <w:rPr>
          <w:sz w:val="24"/>
          <w:szCs w:val="24"/>
        </w:rPr>
      </w:pPr>
    </w:p>
    <w:p w14:paraId="369E07BC" w14:textId="006BF4E8" w:rsidR="00820CEC" w:rsidRDefault="00820CEC" w:rsidP="00820CEC">
      <w:pPr>
        <w:spacing w:after="120"/>
        <w:rPr>
          <w:sz w:val="24"/>
          <w:szCs w:val="24"/>
        </w:rPr>
      </w:pPr>
      <w:r w:rsidRPr="007A6CB5">
        <w:rPr>
          <w:b/>
          <w:bCs/>
          <w:sz w:val="24"/>
          <w:szCs w:val="24"/>
        </w:rPr>
        <w:t>CONSIDERANDO:</w:t>
      </w:r>
      <w:r w:rsidRPr="007A6CB5">
        <w:rPr>
          <w:sz w:val="24"/>
          <w:szCs w:val="24"/>
        </w:rPr>
        <w:t>                      </w:t>
      </w:r>
    </w:p>
    <w:p w14:paraId="54DA847F" w14:textId="6599493C" w:rsidR="001C4539" w:rsidRPr="001C4539" w:rsidRDefault="00820CEC" w:rsidP="001C4539">
      <w:pPr>
        <w:tabs>
          <w:tab w:val="left" w:pos="2127"/>
        </w:tabs>
        <w:spacing w:before="120" w:after="120"/>
        <w:jc w:val="both"/>
        <w:rPr>
          <w:sz w:val="24"/>
          <w:szCs w:val="24"/>
          <w:lang w:val="es-AR"/>
        </w:rPr>
      </w:pPr>
      <w:r>
        <w:rPr>
          <w:sz w:val="24"/>
          <w:szCs w:val="24"/>
        </w:rPr>
        <w:tab/>
      </w:r>
      <w:r w:rsidR="001C4539" w:rsidRPr="001C4539">
        <w:rPr>
          <w:sz w:val="24"/>
          <w:szCs w:val="24"/>
          <w:lang w:val="es-AR"/>
        </w:rPr>
        <w:t>Que, el programa “Vínculos” apunta a un trabajo coordinado y permanente con gobierno</w:t>
      </w:r>
      <w:r w:rsidR="001C4539">
        <w:rPr>
          <w:sz w:val="24"/>
          <w:szCs w:val="24"/>
          <w:lang w:val="es-AR"/>
        </w:rPr>
        <w:t>s</w:t>
      </w:r>
      <w:r w:rsidR="001C4539" w:rsidRPr="001C4539">
        <w:rPr>
          <w:sz w:val="24"/>
          <w:szCs w:val="24"/>
          <w:lang w:val="es-AR"/>
        </w:rPr>
        <w:t xml:space="preserve"> locales y sociedad civil para gestionar estrategias de prevención del delito y reducir la violencia;</w:t>
      </w:r>
    </w:p>
    <w:p w14:paraId="5E19E868" w14:textId="449B69AC" w:rsidR="001C4539" w:rsidRPr="001C4539" w:rsidRDefault="001C4539" w:rsidP="001C4539">
      <w:pPr>
        <w:tabs>
          <w:tab w:val="left" w:pos="2127"/>
        </w:tabs>
        <w:spacing w:before="120" w:after="120"/>
        <w:jc w:val="both"/>
        <w:rPr>
          <w:sz w:val="24"/>
          <w:szCs w:val="24"/>
          <w:lang w:val="es-AR"/>
        </w:rPr>
      </w:pPr>
      <w:r w:rsidRPr="001C4539">
        <w:rPr>
          <w:sz w:val="24"/>
          <w:szCs w:val="24"/>
          <w:lang w:val="es-AR"/>
        </w:rPr>
        <w:tab/>
        <w:t>Que, es una acción que tiene por objeto avanzar en la prevención del delito, financiando iniciativas que pongan el foco en generar y fortalecer entornos seguros;</w:t>
      </w:r>
    </w:p>
    <w:p w14:paraId="22F5C9AE" w14:textId="0883E5A2" w:rsidR="001C4539" w:rsidRPr="001C4539" w:rsidRDefault="001C4539" w:rsidP="001C4539">
      <w:pPr>
        <w:tabs>
          <w:tab w:val="left" w:pos="2127"/>
        </w:tabs>
        <w:spacing w:before="120" w:after="120"/>
        <w:jc w:val="both"/>
        <w:rPr>
          <w:sz w:val="24"/>
          <w:szCs w:val="24"/>
          <w:lang w:val="es-AR"/>
        </w:rPr>
      </w:pPr>
      <w:r w:rsidRPr="001C4539">
        <w:rPr>
          <w:sz w:val="24"/>
          <w:szCs w:val="24"/>
          <w:lang w:val="es-AR"/>
        </w:rPr>
        <w:t xml:space="preserve">                        </w:t>
      </w:r>
      <w:r w:rsidRPr="001C4539">
        <w:rPr>
          <w:sz w:val="24"/>
          <w:szCs w:val="24"/>
          <w:lang w:val="es-AR"/>
        </w:rPr>
        <w:tab/>
        <w:t>Que, la convocatoria de este año incluye proyectos que van a estar abocados a 3 ejes: infraestructura urbana para la seguridad, infraestructura tecnológica para la seguridad y fortalecimiento de las áreas de seguridad de los gobierno</w:t>
      </w:r>
      <w:r>
        <w:rPr>
          <w:sz w:val="24"/>
          <w:szCs w:val="24"/>
          <w:lang w:val="es-AR"/>
        </w:rPr>
        <w:t>s</w:t>
      </w:r>
      <w:r w:rsidRPr="001C4539">
        <w:rPr>
          <w:sz w:val="24"/>
          <w:szCs w:val="24"/>
          <w:lang w:val="es-AR"/>
        </w:rPr>
        <w:t xml:space="preserve"> locales;</w:t>
      </w:r>
    </w:p>
    <w:p w14:paraId="4A46E144" w14:textId="2F46814C" w:rsidR="001C4539" w:rsidRPr="001C4539" w:rsidRDefault="001C4539" w:rsidP="001C4539">
      <w:pPr>
        <w:tabs>
          <w:tab w:val="left" w:pos="2127"/>
        </w:tabs>
        <w:spacing w:before="120" w:after="120"/>
        <w:jc w:val="both"/>
        <w:rPr>
          <w:sz w:val="24"/>
          <w:szCs w:val="24"/>
          <w:lang w:val="es-AR"/>
        </w:rPr>
      </w:pPr>
      <w:r w:rsidRPr="001C4539">
        <w:rPr>
          <w:sz w:val="24"/>
          <w:szCs w:val="24"/>
          <w:lang w:val="es-AR"/>
        </w:rPr>
        <w:tab/>
        <w:t>Que los proyectos pueden presentarse desde el 3 de abril hasta el 6 de mayo</w:t>
      </w:r>
      <w:r>
        <w:rPr>
          <w:sz w:val="24"/>
          <w:szCs w:val="24"/>
          <w:lang w:val="es-AR"/>
        </w:rPr>
        <w:t xml:space="preserve"> del corriente año</w:t>
      </w:r>
      <w:r w:rsidRPr="001C4539">
        <w:rPr>
          <w:sz w:val="24"/>
          <w:szCs w:val="24"/>
          <w:lang w:val="es-AR"/>
        </w:rPr>
        <w:t>;</w:t>
      </w:r>
    </w:p>
    <w:p w14:paraId="1C3CCB5E" w14:textId="7628243B" w:rsidR="001C4539" w:rsidRPr="001C4539" w:rsidRDefault="001C4539" w:rsidP="001C4539">
      <w:pPr>
        <w:tabs>
          <w:tab w:val="left" w:pos="2127"/>
        </w:tabs>
        <w:spacing w:before="120" w:after="120"/>
        <w:jc w:val="both"/>
        <w:rPr>
          <w:sz w:val="24"/>
          <w:szCs w:val="24"/>
          <w:lang w:val="es-AR"/>
        </w:rPr>
      </w:pPr>
      <w:r w:rsidRPr="001C4539">
        <w:rPr>
          <w:sz w:val="24"/>
          <w:szCs w:val="24"/>
          <w:lang w:val="es-AR"/>
        </w:rPr>
        <w:tab/>
        <w:t>Que, los montos máximos a financiar por cada proyecto</w:t>
      </w:r>
      <w:r>
        <w:rPr>
          <w:sz w:val="24"/>
          <w:szCs w:val="24"/>
          <w:lang w:val="es-AR"/>
        </w:rPr>
        <w:t>,</w:t>
      </w:r>
      <w:r w:rsidRPr="001C4539">
        <w:rPr>
          <w:sz w:val="24"/>
          <w:szCs w:val="24"/>
          <w:lang w:val="es-AR"/>
        </w:rPr>
        <w:t xml:space="preserve"> son los siguientes: Municipios y Comunas, categoría A (hasta 10.000 habitantes), hasta $10.000.000; categoría B (de 10.000 a 50.000 habitantes), hasta $15.000.000; categoría C, de más de 50.000 habitantes, hasta $ 20.000.000.-</w:t>
      </w:r>
    </w:p>
    <w:p w14:paraId="4FAEA288" w14:textId="63528A92" w:rsidR="00CD5C14" w:rsidRPr="00820CEC" w:rsidRDefault="00820CEC" w:rsidP="001C4539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0"/>
      <w:bookmarkEnd w:id="1"/>
      <w:proofErr w:type="gramStart"/>
      <w:r w:rsidR="009F1E75" w:rsidRPr="00820CEC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820CEC">
        <w:rPr>
          <w:sz w:val="24"/>
          <w:szCs w:val="24"/>
        </w:rPr>
        <w:t>or</w:t>
      </w:r>
      <w:proofErr w:type="spellEnd"/>
      <w:r w:rsidR="00714A8C" w:rsidRPr="00820CEC">
        <w:rPr>
          <w:sz w:val="24"/>
          <w:szCs w:val="24"/>
        </w:rPr>
        <w:t xml:space="preserve"> </w:t>
      </w:r>
      <w:r w:rsidR="00AB7E20" w:rsidRPr="00820CEC">
        <w:rPr>
          <w:sz w:val="24"/>
          <w:szCs w:val="24"/>
        </w:rPr>
        <w:t xml:space="preserve"> </w:t>
      </w:r>
      <w:proofErr w:type="spellStart"/>
      <w:r w:rsidR="00AB7E20" w:rsidRPr="00820CEC">
        <w:rPr>
          <w:sz w:val="24"/>
          <w:szCs w:val="24"/>
        </w:rPr>
        <w:t>tod</w:t>
      </w:r>
      <w:proofErr w:type="spellEnd"/>
      <w:r w:rsidR="00AB7E20" w:rsidRPr="00820CEC">
        <w:rPr>
          <w:sz w:val="24"/>
          <w:szCs w:val="24"/>
          <w:lang w:val="es-ES_tradnl"/>
        </w:rPr>
        <w:t>o</w:t>
      </w:r>
      <w:proofErr w:type="gramEnd"/>
      <w:r w:rsidR="00AB7E20" w:rsidRPr="00820CEC">
        <w:rPr>
          <w:sz w:val="24"/>
          <w:szCs w:val="24"/>
          <w:lang w:val="es-ES_tradnl"/>
        </w:rPr>
        <w:t xml:space="preserve"> </w:t>
      </w:r>
      <w:r w:rsidR="00AB7E20" w:rsidRPr="00820CEC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20CEC">
        <w:rPr>
          <w:sz w:val="24"/>
          <w:szCs w:val="24"/>
        </w:rPr>
        <w:t>N°</w:t>
      </w:r>
      <w:proofErr w:type="spellEnd"/>
      <w:r w:rsidR="00AB7E20" w:rsidRPr="00820CEC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37A0B01" w14:textId="7D7D61DA" w:rsidR="001C4539" w:rsidRPr="001C4539" w:rsidRDefault="00820CEC" w:rsidP="001C4539">
      <w:pPr>
        <w:jc w:val="both"/>
        <w:rPr>
          <w:sz w:val="24"/>
          <w:szCs w:val="24"/>
          <w:lang w:val="es-419"/>
        </w:rPr>
      </w:pPr>
      <w:r w:rsidRPr="007A6CB5">
        <w:rPr>
          <w:b/>
          <w:bCs/>
          <w:sz w:val="24"/>
          <w:szCs w:val="24"/>
          <w:u w:val="single"/>
        </w:rPr>
        <w:t>ARTÍCULO</w:t>
      </w:r>
      <w:r>
        <w:rPr>
          <w:b/>
          <w:bCs/>
          <w:sz w:val="24"/>
          <w:szCs w:val="24"/>
          <w:u w:val="single"/>
        </w:rPr>
        <w:t xml:space="preserve"> </w:t>
      </w:r>
      <w:r w:rsidRPr="007A6CB5">
        <w:rPr>
          <w:b/>
          <w:bCs/>
          <w:sz w:val="24"/>
          <w:szCs w:val="24"/>
          <w:u w:val="single"/>
        </w:rPr>
        <w:t>1º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 w:rsidRPr="007A6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1C4539" w:rsidRPr="001C4539">
        <w:rPr>
          <w:sz w:val="24"/>
          <w:szCs w:val="24"/>
          <w:lang w:val="es-419"/>
        </w:rPr>
        <w:t>Solicítase</w:t>
      </w:r>
      <w:proofErr w:type="spellEnd"/>
      <w:r w:rsidR="001C4539" w:rsidRPr="001C4539">
        <w:rPr>
          <w:sz w:val="24"/>
          <w:szCs w:val="24"/>
          <w:lang w:val="es-419"/>
        </w:rPr>
        <w:t xml:space="preserve"> al Departamento Ejecutivo Municipal que a través del área que correspond</w:t>
      </w:r>
      <w:r w:rsidR="001C4539">
        <w:rPr>
          <w:sz w:val="24"/>
          <w:szCs w:val="24"/>
          <w:lang w:val="es-419"/>
        </w:rPr>
        <w:t>a</w:t>
      </w:r>
      <w:r w:rsidR="001C4539" w:rsidRPr="001C4539">
        <w:rPr>
          <w:sz w:val="24"/>
          <w:szCs w:val="24"/>
          <w:lang w:val="es-419"/>
        </w:rPr>
        <w:t xml:space="preserve"> gestione la  llegada del </w:t>
      </w:r>
      <w:r w:rsidR="001C4539">
        <w:rPr>
          <w:sz w:val="24"/>
          <w:szCs w:val="24"/>
          <w:lang w:val="es-419"/>
        </w:rPr>
        <w:t>P</w:t>
      </w:r>
      <w:r w:rsidR="001C4539" w:rsidRPr="001C4539">
        <w:rPr>
          <w:sz w:val="24"/>
          <w:szCs w:val="24"/>
          <w:lang w:val="es-419"/>
        </w:rPr>
        <w:t xml:space="preserve">rograma </w:t>
      </w:r>
      <w:r w:rsidR="001C4539">
        <w:rPr>
          <w:sz w:val="24"/>
          <w:szCs w:val="24"/>
          <w:lang w:val="es-419"/>
        </w:rPr>
        <w:t>“V</w:t>
      </w:r>
      <w:r w:rsidR="001C4539" w:rsidRPr="001C4539">
        <w:rPr>
          <w:sz w:val="24"/>
          <w:szCs w:val="24"/>
          <w:lang w:val="es-419"/>
        </w:rPr>
        <w:t>ínculos</w:t>
      </w:r>
      <w:r w:rsidR="001C4539">
        <w:rPr>
          <w:sz w:val="24"/>
          <w:szCs w:val="24"/>
          <w:lang w:val="es-419"/>
        </w:rPr>
        <w:t>”</w:t>
      </w:r>
      <w:r w:rsidR="001C4539" w:rsidRPr="001C4539">
        <w:rPr>
          <w:sz w:val="24"/>
          <w:szCs w:val="24"/>
          <w:lang w:val="es-419"/>
        </w:rPr>
        <w:t>, e informe a este cuerpo de concejales el proyecto a presentar.</w:t>
      </w:r>
    </w:p>
    <w:p w14:paraId="5A696225" w14:textId="2C0519E1" w:rsidR="00820CEC" w:rsidRPr="007A6CB5" w:rsidRDefault="00820CEC" w:rsidP="001C4539">
      <w:pPr>
        <w:jc w:val="both"/>
        <w:rPr>
          <w:sz w:val="24"/>
          <w:szCs w:val="24"/>
        </w:rPr>
      </w:pPr>
    </w:p>
    <w:p w14:paraId="17E70DAB" w14:textId="77ADC990" w:rsidR="00820CEC" w:rsidRDefault="00820CEC" w:rsidP="00820CEC">
      <w:pPr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 2º</w:t>
      </w:r>
      <w:proofErr w:type="gramStart"/>
      <w:r>
        <w:rPr>
          <w:b/>
          <w:bCs/>
          <w:sz w:val="24"/>
          <w:szCs w:val="24"/>
        </w:rPr>
        <w:t>).-</w:t>
      </w:r>
      <w:proofErr w:type="gramEnd"/>
      <w:r w:rsidRPr="007A6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6CB5">
        <w:rPr>
          <w:sz w:val="24"/>
          <w:szCs w:val="24"/>
        </w:rPr>
        <w:t xml:space="preserve">Comuníquese, Publíquese, Archívese y </w:t>
      </w:r>
      <w:proofErr w:type="spellStart"/>
      <w:r w:rsidRPr="007A6CB5">
        <w:rPr>
          <w:sz w:val="24"/>
          <w:szCs w:val="24"/>
        </w:rPr>
        <w:t>Dése</w:t>
      </w:r>
      <w:proofErr w:type="spellEnd"/>
      <w:r w:rsidRPr="007A6CB5">
        <w:rPr>
          <w:sz w:val="24"/>
          <w:szCs w:val="24"/>
        </w:rPr>
        <w:t xml:space="preserve"> al Registro Municipal.</w:t>
      </w:r>
    </w:p>
    <w:p w14:paraId="12F996F9" w14:textId="77777777" w:rsidR="00820CEC" w:rsidRPr="007A6CB5" w:rsidRDefault="00820CEC" w:rsidP="00820CEC">
      <w:pPr>
        <w:rPr>
          <w:sz w:val="24"/>
          <w:szCs w:val="24"/>
        </w:rPr>
      </w:pPr>
    </w:p>
    <w:p w14:paraId="25B2CB27" w14:textId="32259401" w:rsidR="00CF4FA5" w:rsidRPr="006F1A9F" w:rsidRDefault="008E7495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1C4539">
        <w:t>cuatro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1C4539">
        <w:t>Abril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sectPr w:rsidR="00CF4FA5" w:rsidRPr="006F1A9F" w:rsidSect="001C4539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6883A" w14:textId="77777777" w:rsidR="000221DB" w:rsidRDefault="000221DB">
      <w:r>
        <w:separator/>
      </w:r>
    </w:p>
  </w:endnote>
  <w:endnote w:type="continuationSeparator" w:id="0">
    <w:p w14:paraId="0E52DF56" w14:textId="77777777" w:rsidR="000221DB" w:rsidRDefault="0002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EC63E" w14:textId="77777777" w:rsidR="000221DB" w:rsidRDefault="000221DB">
      <w:r>
        <w:separator/>
      </w:r>
    </w:p>
  </w:footnote>
  <w:footnote w:type="continuationSeparator" w:id="0">
    <w:p w14:paraId="06714312" w14:textId="77777777" w:rsidR="000221DB" w:rsidRDefault="00022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0CEC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290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4</cp:revision>
  <cp:lastPrinted>2024-04-04T13:13:00Z</cp:lastPrinted>
  <dcterms:created xsi:type="dcterms:W3CDTF">2024-03-27T11:26:00Z</dcterms:created>
  <dcterms:modified xsi:type="dcterms:W3CDTF">2024-04-04T13:13:00Z</dcterms:modified>
</cp:coreProperties>
</file>