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5C" w:rsidRDefault="0068685C" w:rsidP="0068685C">
      <w:pPr>
        <w:pStyle w:val="Ttulo1"/>
        <w:rPr>
          <w:sz w:val="24"/>
        </w:rPr>
      </w:pPr>
      <w:r>
        <w:rPr>
          <w:sz w:val="24"/>
        </w:rPr>
        <w:t>MINUTA DE DECLARACION  N°</w:t>
      </w:r>
      <w:proofErr w:type="gramStart"/>
      <w:r>
        <w:rPr>
          <w:sz w:val="24"/>
        </w:rPr>
        <w:t>:  17</w:t>
      </w:r>
      <w:r w:rsidR="004047FD">
        <w:rPr>
          <w:sz w:val="24"/>
        </w:rPr>
        <w:t>5</w:t>
      </w:r>
      <w:proofErr w:type="gramEnd"/>
    </w:p>
    <w:p w:rsidR="0068685C" w:rsidRDefault="0068685C" w:rsidP="0068685C">
      <w:pPr>
        <w:jc w:val="both"/>
        <w:rPr>
          <w:b/>
          <w:sz w:val="24"/>
          <w:lang w:val="es-MX"/>
        </w:rPr>
      </w:pPr>
    </w:p>
    <w:p w:rsidR="0068685C" w:rsidRDefault="0068685C" w:rsidP="0068685C">
      <w:pPr>
        <w:jc w:val="both"/>
        <w:rPr>
          <w:b/>
          <w:sz w:val="24"/>
          <w:lang w:val="es-MX"/>
        </w:rPr>
      </w:pPr>
    </w:p>
    <w:p w:rsidR="0068685C" w:rsidRPr="00CA4E10" w:rsidRDefault="0068685C" w:rsidP="0068685C">
      <w:pPr>
        <w:pStyle w:val="Ttulo"/>
        <w:spacing w:after="240"/>
        <w:jc w:val="left"/>
        <w:rPr>
          <w:b w:val="0"/>
          <w:szCs w:val="24"/>
        </w:rPr>
      </w:pPr>
      <w:r>
        <w:rPr>
          <w:u w:val="none"/>
        </w:rPr>
        <w:t xml:space="preserve">VISTO: </w:t>
      </w:r>
      <w:r>
        <w:rPr>
          <w:szCs w:val="24"/>
        </w:rPr>
        <w:t xml:space="preserve">             </w:t>
      </w:r>
    </w:p>
    <w:p w:rsidR="004047FD" w:rsidRDefault="0068685C" w:rsidP="004047FD">
      <w:pPr>
        <w:pStyle w:val="NormalWeb"/>
        <w:spacing w:after="480" w:afterAutospacing="0"/>
        <w:jc w:val="both"/>
        <w:rPr>
          <w:color w:val="000000"/>
        </w:rPr>
      </w:pPr>
      <w:r>
        <w:tab/>
      </w:r>
      <w:r w:rsidR="004047FD">
        <w:t xml:space="preserve">  </w:t>
      </w:r>
      <w:r w:rsidR="004047FD" w:rsidRPr="008E013B">
        <w:rPr>
          <w:color w:val="000000"/>
        </w:rPr>
        <w:t xml:space="preserve">La conmemoración del 40º aniversario del conflicto bélico en las Islas Malvinas, </w:t>
      </w:r>
      <w:proofErr w:type="spellStart"/>
      <w:r w:rsidR="004047FD" w:rsidRPr="008E013B">
        <w:rPr>
          <w:color w:val="000000"/>
        </w:rPr>
        <w:t>Georgias</w:t>
      </w:r>
      <w:proofErr w:type="spellEnd"/>
      <w:r w:rsidR="004047FD" w:rsidRPr="008E013B">
        <w:rPr>
          <w:color w:val="000000"/>
        </w:rPr>
        <w:t xml:space="preserve"> y </w:t>
      </w:r>
      <w:proofErr w:type="spellStart"/>
      <w:r w:rsidR="004047FD" w:rsidRPr="008E013B">
        <w:rPr>
          <w:color w:val="000000"/>
        </w:rPr>
        <w:t>Sandwichs</w:t>
      </w:r>
      <w:proofErr w:type="spellEnd"/>
      <w:r w:rsidR="004047FD" w:rsidRPr="008E013B">
        <w:rPr>
          <w:color w:val="000000"/>
        </w:rPr>
        <w:t xml:space="preserve"> del Sur; y</w:t>
      </w:r>
      <w:r w:rsidR="004047FD">
        <w:rPr>
          <w:color w:val="000000"/>
        </w:rPr>
        <w:t>,</w:t>
      </w:r>
    </w:p>
    <w:p w:rsidR="004047FD" w:rsidRPr="001C1572" w:rsidRDefault="004047FD" w:rsidP="004047FD">
      <w:pPr>
        <w:pStyle w:val="NormalWeb"/>
        <w:jc w:val="both"/>
        <w:rPr>
          <w:b/>
          <w:color w:val="000000"/>
        </w:rPr>
      </w:pPr>
      <w:r w:rsidRPr="001C1572">
        <w:rPr>
          <w:b/>
          <w:color w:val="000000"/>
        </w:rPr>
        <w:t>CONSIDERANDO:</w:t>
      </w:r>
    </w:p>
    <w:p w:rsidR="004047FD" w:rsidRPr="008E013B" w:rsidRDefault="004047FD" w:rsidP="004047FD">
      <w:pPr>
        <w:pStyle w:val="NormalWeb"/>
        <w:tabs>
          <w:tab w:val="left" w:pos="2127"/>
        </w:tabs>
        <w:jc w:val="both"/>
        <w:rPr>
          <w:color w:val="000000"/>
        </w:rPr>
      </w:pPr>
      <w:r w:rsidRPr="008E013B">
        <w:rPr>
          <w:color w:val="000000"/>
        </w:rPr>
        <w:tab/>
        <w:t>Que los sucesos ocurridos el 2 de abril de 1982 dieron origen a la guerra entre el Reino Unido de Gran Bretaña y la República Argentina, prolongad</w:t>
      </w:r>
      <w:r>
        <w:rPr>
          <w:color w:val="000000"/>
        </w:rPr>
        <w:t>a</w:t>
      </w:r>
      <w:r w:rsidRPr="008E013B">
        <w:rPr>
          <w:color w:val="000000"/>
        </w:rPr>
        <w:t xml:space="preserve"> has</w:t>
      </w:r>
      <w:r>
        <w:rPr>
          <w:color w:val="000000"/>
        </w:rPr>
        <w:t>ta el 14 de junio del mismo año;</w:t>
      </w:r>
    </w:p>
    <w:p w:rsidR="004047FD" w:rsidRPr="008E013B" w:rsidRDefault="004047FD" w:rsidP="004047FD">
      <w:pPr>
        <w:pStyle w:val="NormalWeb"/>
        <w:tabs>
          <w:tab w:val="left" w:pos="2127"/>
        </w:tabs>
        <w:jc w:val="both"/>
        <w:rPr>
          <w:color w:val="000000"/>
        </w:rPr>
      </w:pPr>
      <w:r>
        <w:rPr>
          <w:color w:val="000000"/>
        </w:rPr>
        <w:tab/>
      </w:r>
      <w:r w:rsidRPr="008E013B">
        <w:rPr>
          <w:color w:val="000000"/>
        </w:rPr>
        <w:t>Que en el conflicto armado intervinieron soldados argentinos que en muchos casos ofrendaron sus propias vidas, revistiendo diferentes situaciones según l</w:t>
      </w:r>
      <w:r>
        <w:rPr>
          <w:color w:val="000000"/>
        </w:rPr>
        <w:t>as órdenes militares impartidas;</w:t>
      </w:r>
    </w:p>
    <w:p w:rsidR="004047FD" w:rsidRPr="008E013B" w:rsidRDefault="004047FD" w:rsidP="004047FD">
      <w:pPr>
        <w:pStyle w:val="NormalWeb"/>
        <w:tabs>
          <w:tab w:val="left" w:pos="2127"/>
        </w:tabs>
        <w:jc w:val="both"/>
        <w:rPr>
          <w:color w:val="000000"/>
        </w:rPr>
      </w:pPr>
      <w:r>
        <w:rPr>
          <w:color w:val="000000"/>
        </w:rPr>
        <w:tab/>
      </w:r>
      <w:r w:rsidRPr="008E013B">
        <w:rPr>
          <w:color w:val="000000"/>
        </w:rPr>
        <w:t>Que debido a ello se evidencian combatientes en el propio suelo de las islas y aquellos aprestados en el continente</w:t>
      </w:r>
      <w:r>
        <w:rPr>
          <w:color w:val="000000"/>
        </w:rPr>
        <w:t>;</w:t>
      </w:r>
    </w:p>
    <w:p w:rsidR="004047FD" w:rsidRPr="008E013B" w:rsidRDefault="004047FD" w:rsidP="004047FD">
      <w:pPr>
        <w:pStyle w:val="NormalWeb"/>
        <w:tabs>
          <w:tab w:val="left" w:pos="2127"/>
        </w:tabs>
        <w:jc w:val="both"/>
        <w:rPr>
          <w:color w:val="000000"/>
        </w:rPr>
      </w:pPr>
      <w:r>
        <w:rPr>
          <w:color w:val="000000"/>
        </w:rPr>
        <w:tab/>
      </w:r>
      <w:r w:rsidRPr="008E013B">
        <w:rPr>
          <w:color w:val="000000"/>
        </w:rPr>
        <w:t>Que si bien en Totoras no hubo, durante el período de guerra, habitantes participando directamente del enfrentamiento con agentes ingleses en el territorio insular, se dio el caso de dos personas que ostentan el rango de ex combatientes, que luego de ese hecho histórico han habitado y/o habitan nuestra comunidad</w:t>
      </w:r>
      <w:r>
        <w:rPr>
          <w:color w:val="000000"/>
        </w:rPr>
        <w:t>;</w:t>
      </w:r>
    </w:p>
    <w:p w:rsidR="004047FD" w:rsidRPr="008E013B" w:rsidRDefault="004047FD" w:rsidP="004047FD">
      <w:pPr>
        <w:pStyle w:val="NormalWeb"/>
        <w:tabs>
          <w:tab w:val="left" w:pos="2127"/>
        </w:tabs>
        <w:jc w:val="both"/>
        <w:rPr>
          <w:color w:val="000000"/>
        </w:rPr>
      </w:pPr>
      <w:r>
        <w:rPr>
          <w:color w:val="000000"/>
        </w:rPr>
        <w:tab/>
      </w:r>
      <w:r w:rsidRPr="008E013B">
        <w:rPr>
          <w:color w:val="000000"/>
        </w:rPr>
        <w:t xml:space="preserve">Que en otras oportunidades este Concejo, en nombre de toda la población </w:t>
      </w:r>
      <w:proofErr w:type="spellStart"/>
      <w:r w:rsidRPr="008E013B">
        <w:rPr>
          <w:color w:val="000000"/>
        </w:rPr>
        <w:t>Totorense</w:t>
      </w:r>
      <w:proofErr w:type="spellEnd"/>
      <w:r w:rsidRPr="008E013B">
        <w:rPr>
          <w:color w:val="000000"/>
        </w:rPr>
        <w:t>, reconoció a quienes en 1982 fueron afectados al conflicto sin llegar a la</w:t>
      </w:r>
      <w:r>
        <w:rPr>
          <w:color w:val="000000"/>
        </w:rPr>
        <w:t>s islas nombradas;</w:t>
      </w:r>
    </w:p>
    <w:p w:rsidR="004047FD" w:rsidRPr="008E013B" w:rsidRDefault="004047FD" w:rsidP="004047FD">
      <w:pPr>
        <w:pStyle w:val="NormalWeb"/>
        <w:tabs>
          <w:tab w:val="left" w:pos="2127"/>
        </w:tabs>
        <w:jc w:val="both"/>
        <w:rPr>
          <w:color w:val="000000"/>
        </w:rPr>
      </w:pPr>
      <w:r>
        <w:rPr>
          <w:color w:val="000000"/>
        </w:rPr>
        <w:tab/>
      </w:r>
      <w:r w:rsidRPr="008E013B">
        <w:rPr>
          <w:color w:val="000000"/>
        </w:rPr>
        <w:t xml:space="preserve">Que al cumplirse este aniversario de la guerra resulta necesario reconocer a las personas que expusieron su vida en forma directa y por un objetivo nacional, y que han sido parte y/o lo siguen siendo de nuestro quehacer </w:t>
      </w:r>
      <w:proofErr w:type="spellStart"/>
      <w:r w:rsidRPr="008E013B">
        <w:rPr>
          <w:color w:val="000000"/>
        </w:rPr>
        <w:t>Totorense</w:t>
      </w:r>
      <w:proofErr w:type="spellEnd"/>
      <w:r w:rsidRPr="008E013B">
        <w:rPr>
          <w:color w:val="000000"/>
        </w:rPr>
        <w:t xml:space="preserve">, como son los Sres. SERGIO PINO, y </w:t>
      </w:r>
      <w:r>
        <w:rPr>
          <w:color w:val="000000"/>
        </w:rPr>
        <w:t>David Darío LAURITO;</w:t>
      </w:r>
      <w:r w:rsidRPr="008E013B">
        <w:rPr>
          <w:color w:val="000000"/>
        </w:rPr>
        <w:t xml:space="preserve"> situaciones debidamente acreditadas.</w:t>
      </w:r>
    </w:p>
    <w:p w:rsidR="004047FD" w:rsidRPr="008E013B" w:rsidRDefault="004047FD" w:rsidP="004047FD">
      <w:pPr>
        <w:pStyle w:val="NormalWeb"/>
        <w:tabs>
          <w:tab w:val="left" w:pos="2127"/>
        </w:tabs>
        <w:jc w:val="both"/>
        <w:rPr>
          <w:color w:val="000000"/>
        </w:rPr>
      </w:pPr>
      <w:r>
        <w:rPr>
          <w:color w:val="000000"/>
        </w:rPr>
        <w:tab/>
      </w:r>
      <w:r w:rsidRPr="008E013B">
        <w:rPr>
          <w:color w:val="000000"/>
        </w:rPr>
        <w:t xml:space="preserve">Que el Sr. PINO </w:t>
      </w:r>
      <w:r>
        <w:rPr>
          <w:color w:val="000000"/>
        </w:rPr>
        <w:t>residió en</w:t>
      </w:r>
      <w:r w:rsidRPr="008E013B">
        <w:rPr>
          <w:color w:val="000000"/>
        </w:rPr>
        <w:t xml:space="preserve"> Totoras luego del conflicto</w:t>
      </w:r>
      <w:r>
        <w:rPr>
          <w:color w:val="000000"/>
        </w:rPr>
        <w:t>,</w:t>
      </w:r>
      <w:r w:rsidRPr="008E013B">
        <w:rPr>
          <w:color w:val="000000"/>
        </w:rPr>
        <w:t xml:space="preserve"> al</w:t>
      </w:r>
      <w:r>
        <w:rPr>
          <w:color w:val="000000"/>
        </w:rPr>
        <w:t xml:space="preserve"> tiempo que fue</w:t>
      </w:r>
      <w:r w:rsidRPr="008E013B">
        <w:rPr>
          <w:color w:val="000000"/>
        </w:rPr>
        <w:t xml:space="preserve"> empleado</w:t>
      </w:r>
      <w:r>
        <w:rPr>
          <w:color w:val="000000"/>
        </w:rPr>
        <w:t xml:space="preserve"> por el Frigorífico Totoras, también</w:t>
      </w:r>
      <w:r w:rsidRPr="008E013B">
        <w:rPr>
          <w:color w:val="000000"/>
        </w:rPr>
        <w:t xml:space="preserve"> participó</w:t>
      </w:r>
      <w:r>
        <w:rPr>
          <w:color w:val="000000"/>
        </w:rPr>
        <w:t xml:space="preserve"> </w:t>
      </w:r>
      <w:r w:rsidRPr="008E013B">
        <w:rPr>
          <w:color w:val="000000"/>
        </w:rPr>
        <w:t xml:space="preserve">en diferentes entidades locales durante los ocho años en que </w:t>
      </w:r>
      <w:r>
        <w:rPr>
          <w:color w:val="000000"/>
        </w:rPr>
        <w:t xml:space="preserve">residió en </w:t>
      </w:r>
      <w:r w:rsidRPr="008E013B">
        <w:rPr>
          <w:color w:val="000000"/>
        </w:rPr>
        <w:t xml:space="preserve">este </w:t>
      </w:r>
      <w:proofErr w:type="spellStart"/>
      <w:r w:rsidRPr="008E013B">
        <w:rPr>
          <w:color w:val="000000"/>
        </w:rPr>
        <w:t>luga</w:t>
      </w:r>
      <w:proofErr w:type="spellEnd"/>
      <w:r>
        <w:rPr>
          <w:color w:val="000000"/>
        </w:rPr>
        <w:t xml:space="preserve">, </w:t>
      </w:r>
      <w:r w:rsidRPr="008E013B">
        <w:rPr>
          <w:color w:val="000000"/>
        </w:rPr>
        <w:t xml:space="preserve"> especialmente</w:t>
      </w:r>
      <w:r>
        <w:rPr>
          <w:color w:val="000000"/>
        </w:rPr>
        <w:t xml:space="preserve"> colaboró co</w:t>
      </w:r>
      <w:r w:rsidRPr="008E013B">
        <w:rPr>
          <w:color w:val="000000"/>
        </w:rPr>
        <w:t>n la Parroquia Santa Teresa de Jesús y los tradicio</w:t>
      </w:r>
      <w:r>
        <w:rPr>
          <w:color w:val="000000"/>
        </w:rPr>
        <w:t xml:space="preserve">nales eventos del día del niño, así como también con </w:t>
      </w:r>
      <w:r w:rsidRPr="008E013B">
        <w:rPr>
          <w:color w:val="000000"/>
        </w:rPr>
        <w:t xml:space="preserve">el </w:t>
      </w:r>
      <w:r>
        <w:rPr>
          <w:color w:val="000000"/>
        </w:rPr>
        <w:t>“Festival de la E</w:t>
      </w:r>
      <w:r w:rsidRPr="008E013B">
        <w:rPr>
          <w:color w:val="000000"/>
        </w:rPr>
        <w:t>speranza</w:t>
      </w:r>
      <w:r>
        <w:rPr>
          <w:color w:val="000000"/>
        </w:rPr>
        <w:t>”</w:t>
      </w:r>
      <w:r w:rsidRPr="008E013B">
        <w:rPr>
          <w:color w:val="000000"/>
        </w:rPr>
        <w:t>, para luego regresar a su tierra natal, la ciudad de Concordia en Entre Ríos.</w:t>
      </w:r>
    </w:p>
    <w:p w:rsidR="004047FD" w:rsidRPr="008E013B" w:rsidRDefault="004047FD" w:rsidP="004047FD">
      <w:pPr>
        <w:pStyle w:val="NormalWeb"/>
        <w:tabs>
          <w:tab w:val="left" w:pos="2127"/>
        </w:tabs>
        <w:jc w:val="both"/>
        <w:rPr>
          <w:color w:val="000000"/>
        </w:rPr>
      </w:pPr>
      <w:r>
        <w:rPr>
          <w:color w:val="000000"/>
        </w:rPr>
        <w:tab/>
      </w:r>
      <w:r w:rsidRPr="008E013B">
        <w:rPr>
          <w:color w:val="000000"/>
        </w:rPr>
        <w:t xml:space="preserve">Que el Sr. Laurito también es vecino </w:t>
      </w:r>
      <w:proofErr w:type="spellStart"/>
      <w:r w:rsidRPr="008E013B">
        <w:rPr>
          <w:color w:val="000000"/>
        </w:rPr>
        <w:t>Totorense</w:t>
      </w:r>
      <w:proofErr w:type="spellEnd"/>
      <w:r w:rsidRPr="008E013B">
        <w:rPr>
          <w:color w:val="000000"/>
        </w:rPr>
        <w:t xml:space="preserve"> desde hace años, y su familia también está radicada aquí y afincados laboral y socialmente.</w:t>
      </w:r>
    </w:p>
    <w:p w:rsidR="004047FD" w:rsidRDefault="004047FD" w:rsidP="004047FD">
      <w:pPr>
        <w:pStyle w:val="NormalWeb"/>
        <w:tabs>
          <w:tab w:val="left" w:pos="2127"/>
        </w:tabs>
        <w:jc w:val="both"/>
        <w:rPr>
          <w:color w:val="000000"/>
        </w:rPr>
      </w:pPr>
      <w:r>
        <w:rPr>
          <w:color w:val="000000"/>
        </w:rPr>
        <w:tab/>
      </w:r>
      <w:r w:rsidRPr="008E013B">
        <w:rPr>
          <w:color w:val="000000"/>
        </w:rPr>
        <w:t>Que esta declaración no significa descartar otras participaciones humanas e institucionales en el conflicto, ni equivale a un pronunciamiento sobre la decisión militar sucedida en 1982, sino que se origina en la realidad objetiva de quienes fueron parte del conflicto directamente y han pasado o viven actualmente en Totoras.</w:t>
      </w:r>
    </w:p>
    <w:p w:rsidR="004047FD" w:rsidRPr="008E013B" w:rsidRDefault="004047FD" w:rsidP="004047FD">
      <w:pPr>
        <w:pStyle w:val="NormalWeb"/>
        <w:tabs>
          <w:tab w:val="left" w:pos="2127"/>
        </w:tabs>
        <w:jc w:val="both"/>
        <w:rPr>
          <w:color w:val="000000"/>
        </w:rPr>
      </w:pPr>
    </w:p>
    <w:p w:rsidR="001022D6" w:rsidRPr="00C122A9" w:rsidRDefault="0068685C" w:rsidP="004047FD">
      <w:pPr>
        <w:widowControl w:val="0"/>
        <w:tabs>
          <w:tab w:val="left" w:pos="2127"/>
        </w:tabs>
        <w:spacing w:before="100" w:beforeAutospacing="1" w:after="100" w:afterAutospacing="1"/>
        <w:jc w:val="both"/>
        <w:rPr>
          <w:bCs/>
          <w:sz w:val="24"/>
          <w:szCs w:val="24"/>
        </w:rPr>
      </w:pPr>
      <w:r>
        <w:lastRenderedPageBreak/>
        <w:tab/>
      </w:r>
      <w:r w:rsidRPr="00C122A9">
        <w:rPr>
          <w:sz w:val="24"/>
          <w:szCs w:val="24"/>
        </w:rPr>
        <w:t>Por todo ello, el  Concejo Municipal de la Ciudad de Totoras, en uso de las atribuciones que le confiere la Ley Orgánica de Municipalidades N°: 2756 y el  Reglamento Interno de este Concejo Municipal  sanciona la siguiente:</w:t>
      </w:r>
      <w:r w:rsidRPr="00C122A9">
        <w:rPr>
          <w:bCs/>
          <w:sz w:val="24"/>
          <w:szCs w:val="24"/>
        </w:rPr>
        <w:t xml:space="preserve">      </w:t>
      </w:r>
    </w:p>
    <w:p w:rsidR="0068685C" w:rsidRPr="001022D6" w:rsidRDefault="001022D6" w:rsidP="00C6175F">
      <w:pPr>
        <w:pStyle w:val="Textoindependiente"/>
        <w:tabs>
          <w:tab w:val="left" w:pos="2127"/>
        </w:tabs>
        <w:spacing w:after="360"/>
        <w:jc w:val="center"/>
        <w:rPr>
          <w:b/>
          <w:sz w:val="24"/>
          <w:szCs w:val="24"/>
          <w:u w:val="single"/>
        </w:rPr>
      </w:pPr>
      <w:r w:rsidRPr="001022D6">
        <w:rPr>
          <w:b/>
          <w:bCs/>
          <w:sz w:val="24"/>
          <w:szCs w:val="24"/>
          <w:u w:val="single"/>
        </w:rPr>
        <w:t>MINUTA DE DECL</w:t>
      </w:r>
      <w:r w:rsidRPr="001022D6">
        <w:rPr>
          <w:b/>
          <w:sz w:val="24"/>
          <w:szCs w:val="24"/>
          <w:u w:val="single"/>
        </w:rPr>
        <w:t>ARACION</w:t>
      </w:r>
    </w:p>
    <w:p w:rsidR="004047FD" w:rsidRDefault="004047FD" w:rsidP="004047FD">
      <w:pPr>
        <w:pStyle w:val="NormalWeb"/>
        <w:spacing w:before="120" w:beforeAutospacing="0"/>
        <w:jc w:val="both"/>
        <w:rPr>
          <w:color w:val="000000"/>
          <w:sz w:val="27"/>
          <w:szCs w:val="27"/>
        </w:rPr>
      </w:pPr>
      <w:r w:rsidRPr="001C1572">
        <w:rPr>
          <w:b/>
          <w:color w:val="000000"/>
          <w:u w:val="single"/>
        </w:rPr>
        <w:t>ARTÍCULO 1º).-</w:t>
      </w:r>
      <w:r>
        <w:rPr>
          <w:color w:val="000000"/>
        </w:rPr>
        <w:t xml:space="preserve"> </w:t>
      </w:r>
      <w:proofErr w:type="spellStart"/>
      <w:r>
        <w:rPr>
          <w:color w:val="000000"/>
        </w:rPr>
        <w:t>Recon</w:t>
      </w:r>
      <w:bookmarkStart w:id="0" w:name="_GoBack"/>
      <w:bookmarkEnd w:id="0"/>
      <w:r>
        <w:rPr>
          <w:color w:val="000000"/>
        </w:rPr>
        <w:t>ócese</w:t>
      </w:r>
      <w:proofErr w:type="spellEnd"/>
      <w:r w:rsidRPr="008E013B">
        <w:rPr>
          <w:color w:val="000000"/>
        </w:rPr>
        <w:t xml:space="preserve"> a los Sres. SERGIO PINO, y </w:t>
      </w:r>
      <w:r>
        <w:rPr>
          <w:color w:val="000000"/>
        </w:rPr>
        <w:t xml:space="preserve">David Darío </w:t>
      </w:r>
      <w:r w:rsidRPr="008E013B">
        <w:rPr>
          <w:color w:val="000000"/>
        </w:rPr>
        <w:t xml:space="preserve">LAURITO, por su participación directa en el conflicto bélico sucedido en las Islas Malvinas, </w:t>
      </w:r>
      <w:proofErr w:type="spellStart"/>
      <w:r w:rsidRPr="008E013B">
        <w:rPr>
          <w:color w:val="000000"/>
        </w:rPr>
        <w:t>Georgias</w:t>
      </w:r>
      <w:proofErr w:type="spellEnd"/>
      <w:r w:rsidRPr="008E013B">
        <w:rPr>
          <w:color w:val="000000"/>
        </w:rPr>
        <w:t xml:space="preserve"> y </w:t>
      </w:r>
      <w:proofErr w:type="spellStart"/>
      <w:r>
        <w:rPr>
          <w:color w:val="000000"/>
        </w:rPr>
        <w:t>Sandwich</w:t>
      </w:r>
      <w:proofErr w:type="spellEnd"/>
      <w:r w:rsidRPr="008E013B">
        <w:rPr>
          <w:color w:val="000000"/>
        </w:rPr>
        <w:t xml:space="preserve"> del Sur, entre el Reino Unido de Gran Bretaña y la República Argentina, y </w:t>
      </w:r>
      <w:r>
        <w:rPr>
          <w:color w:val="000000"/>
        </w:rPr>
        <w:t>quienes</w:t>
      </w:r>
      <w:r w:rsidRPr="008E013B">
        <w:rPr>
          <w:color w:val="000000"/>
        </w:rPr>
        <w:t xml:space="preserve"> ostentan, debidamente acreditado</w:t>
      </w:r>
      <w:r>
        <w:rPr>
          <w:color w:val="000000"/>
        </w:rPr>
        <w:t>,</w:t>
      </w:r>
      <w:r w:rsidRPr="008E013B">
        <w:rPr>
          <w:color w:val="000000"/>
        </w:rPr>
        <w:t xml:space="preserve"> el rango de ex combatientes de Malvinas, y han </w:t>
      </w:r>
      <w:r>
        <w:rPr>
          <w:color w:val="000000"/>
        </w:rPr>
        <w:t>residido</w:t>
      </w:r>
      <w:r w:rsidRPr="008E013B">
        <w:rPr>
          <w:color w:val="000000"/>
        </w:rPr>
        <w:t xml:space="preserve"> y/o </w:t>
      </w:r>
      <w:r>
        <w:rPr>
          <w:color w:val="000000"/>
        </w:rPr>
        <w:t>residen</w:t>
      </w:r>
      <w:r w:rsidRPr="008E013B">
        <w:rPr>
          <w:color w:val="000000"/>
        </w:rPr>
        <w:t xml:space="preserve"> actualmente</w:t>
      </w:r>
      <w:r>
        <w:rPr>
          <w:color w:val="000000"/>
        </w:rPr>
        <w:t xml:space="preserve"> en</w:t>
      </w:r>
      <w:r w:rsidRPr="008E013B">
        <w:rPr>
          <w:color w:val="000000"/>
        </w:rPr>
        <w:t xml:space="preserve"> la ciudad de Totoras.</w:t>
      </w:r>
      <w:r>
        <w:rPr>
          <w:color w:val="000000"/>
        </w:rPr>
        <w:t>-</w:t>
      </w:r>
    </w:p>
    <w:p w:rsidR="00A00576" w:rsidRDefault="004047FD" w:rsidP="004047FD">
      <w:pPr>
        <w:pStyle w:val="NormalWeb"/>
        <w:spacing w:before="120" w:beforeAutospacing="0"/>
        <w:jc w:val="both"/>
      </w:pPr>
      <w:r w:rsidRPr="00A4208E">
        <w:rPr>
          <w:b/>
          <w:u w:val="single"/>
        </w:rPr>
        <w:t>ARTICULO 2°).-</w:t>
      </w:r>
      <w:r>
        <w:t xml:space="preserve"> </w:t>
      </w:r>
      <w:proofErr w:type="spellStart"/>
      <w:r w:rsidR="00A00576">
        <w:t>Dispónese</w:t>
      </w:r>
      <w:proofErr w:type="spellEnd"/>
      <w:r w:rsidR="00A00576">
        <w:t xml:space="preserve"> la entrega de la Minuta de Declaración a los </w:t>
      </w:r>
      <w:proofErr w:type="spellStart"/>
      <w:r w:rsidR="00A00576">
        <w:t>Sres</w:t>
      </w:r>
      <w:proofErr w:type="spellEnd"/>
      <w:r w:rsidR="00A00576">
        <w:t xml:space="preserve"> nombrados en el artículo 1º,  conjuntamente con un presente alusivo. </w:t>
      </w:r>
    </w:p>
    <w:p w:rsidR="004047FD" w:rsidRPr="001C1572" w:rsidRDefault="00A00576" w:rsidP="004047FD">
      <w:pPr>
        <w:pStyle w:val="NormalWeb"/>
        <w:spacing w:before="120" w:beforeAutospacing="0"/>
        <w:jc w:val="both"/>
        <w:rPr>
          <w:color w:val="000000"/>
        </w:rPr>
      </w:pPr>
      <w:r w:rsidRPr="00A00576">
        <w:rPr>
          <w:b/>
          <w:color w:val="000000"/>
          <w:u w:val="single"/>
        </w:rPr>
        <w:t>ARTÍCULO 3º).-</w:t>
      </w:r>
      <w:r>
        <w:rPr>
          <w:color w:val="000000"/>
        </w:rPr>
        <w:t xml:space="preserve">  </w:t>
      </w:r>
      <w:r w:rsidR="004047FD" w:rsidRPr="001C1572">
        <w:rPr>
          <w:color w:val="000000"/>
        </w:rPr>
        <w:t xml:space="preserve">Comuníquese, Publíquese, Archívese y </w:t>
      </w:r>
      <w:proofErr w:type="spellStart"/>
      <w:r w:rsidR="004047FD" w:rsidRPr="001C1572">
        <w:rPr>
          <w:color w:val="000000"/>
        </w:rPr>
        <w:t>Dése</w:t>
      </w:r>
      <w:proofErr w:type="spellEnd"/>
      <w:r w:rsidR="004047FD" w:rsidRPr="001C1572">
        <w:rPr>
          <w:color w:val="000000"/>
        </w:rPr>
        <w:t xml:space="preserve"> al Registro Municipal.-</w:t>
      </w:r>
    </w:p>
    <w:p w:rsidR="00C6175F" w:rsidRPr="0084565F" w:rsidRDefault="00C6175F" w:rsidP="00C6175F">
      <w:pPr>
        <w:jc w:val="both"/>
        <w:rPr>
          <w:rFonts w:eastAsia="Roboto"/>
          <w:color w:val="000000"/>
          <w:sz w:val="24"/>
          <w:szCs w:val="24"/>
        </w:rPr>
      </w:pPr>
    </w:p>
    <w:p w:rsidR="002B537B" w:rsidRPr="005B371E" w:rsidRDefault="0068685C" w:rsidP="001022D6">
      <w:pPr>
        <w:pStyle w:val="Textoindependiente"/>
        <w:rPr>
          <w:rStyle w:val="apple-style-span"/>
          <w:sz w:val="24"/>
          <w:szCs w:val="24"/>
        </w:rPr>
      </w:pPr>
      <w:r>
        <w:rPr>
          <w:sz w:val="24"/>
        </w:rPr>
        <w:t xml:space="preserve">                                Dada en la Sala de Sesiones del Concejo Municipal de la Ciudad de Totoras, Departamento </w:t>
      </w:r>
      <w:proofErr w:type="spellStart"/>
      <w:r>
        <w:rPr>
          <w:sz w:val="24"/>
        </w:rPr>
        <w:t>Iriondo</w:t>
      </w:r>
      <w:proofErr w:type="spellEnd"/>
      <w:r w:rsidR="001022D6">
        <w:rPr>
          <w:sz w:val="24"/>
        </w:rPr>
        <w:t>, Provincia de Santa Fe, a los</w:t>
      </w:r>
      <w:r w:rsidR="00C6175F">
        <w:rPr>
          <w:sz w:val="24"/>
        </w:rPr>
        <w:t xml:space="preserve"> </w:t>
      </w:r>
      <w:r w:rsidR="004047FD">
        <w:rPr>
          <w:sz w:val="24"/>
        </w:rPr>
        <w:t xml:space="preserve">treinta y un días del mes de Marzo </w:t>
      </w:r>
      <w:r>
        <w:rPr>
          <w:sz w:val="24"/>
        </w:rPr>
        <w:t>del año dos mil veint</w:t>
      </w:r>
      <w:r w:rsidR="001022D6">
        <w:rPr>
          <w:sz w:val="24"/>
        </w:rPr>
        <w:t>i</w:t>
      </w:r>
      <w:r w:rsidR="004047FD">
        <w:rPr>
          <w:sz w:val="24"/>
        </w:rPr>
        <w:t>dós</w:t>
      </w:r>
      <w:r>
        <w:rPr>
          <w:sz w:val="24"/>
        </w:rPr>
        <w:t>.-</w:t>
      </w:r>
    </w:p>
    <w:sectPr w:rsidR="002B537B" w:rsidRPr="005B371E" w:rsidSect="004047FD">
      <w:footerReference w:type="even" r:id="rId9"/>
      <w:footerReference w:type="default" r:id="rId10"/>
      <w:pgSz w:w="12242" w:h="20163" w:code="5"/>
      <w:pgMar w:top="1701" w:right="1021" w:bottom="4253" w:left="1843" w:header="720" w:footer="297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C4D" w:rsidRDefault="00EF2C4D">
      <w:r>
        <w:separator/>
      </w:r>
    </w:p>
  </w:endnote>
  <w:endnote w:type="continuationSeparator" w:id="0">
    <w:p w:rsidR="00EF2C4D" w:rsidRDefault="00EF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Robo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4D" w:rsidRDefault="00EF2C4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F2C4D" w:rsidRDefault="00EF2C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rsidR="00EF2C4D" w:rsidRDefault="00EF2C4D">
        <w:pPr>
          <w:pStyle w:val="Piedepgina"/>
          <w:jc w:val="center"/>
        </w:pPr>
        <w:r>
          <w:fldChar w:fldCharType="begin"/>
        </w:r>
        <w:r>
          <w:instrText>PAGE   \* MERGEFORMAT</w:instrText>
        </w:r>
        <w:r>
          <w:fldChar w:fldCharType="separate"/>
        </w:r>
        <w:r w:rsidR="00A00576">
          <w:rPr>
            <w:noProof/>
          </w:rPr>
          <w:t>2</w:t>
        </w:r>
        <w:r>
          <w:fldChar w:fldCharType="end"/>
        </w:r>
      </w:p>
    </w:sdtContent>
  </w:sdt>
  <w:p w:rsidR="00EF2C4D" w:rsidRDefault="00EF2C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C4D" w:rsidRDefault="00EF2C4D">
      <w:r>
        <w:separator/>
      </w:r>
    </w:p>
  </w:footnote>
  <w:footnote w:type="continuationSeparator" w:id="0">
    <w:p w:rsidR="00EF2C4D" w:rsidRDefault="00EF2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1156"/>
    <w:rsid w:val="00231C04"/>
    <w:rsid w:val="002331A3"/>
    <w:rsid w:val="00234877"/>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851"/>
    <w:rsid w:val="002A4184"/>
    <w:rsid w:val="002A5209"/>
    <w:rsid w:val="002A5457"/>
    <w:rsid w:val="002A676E"/>
    <w:rsid w:val="002B1079"/>
    <w:rsid w:val="002B228A"/>
    <w:rsid w:val="002B2C72"/>
    <w:rsid w:val="002B2F66"/>
    <w:rsid w:val="002B4B88"/>
    <w:rsid w:val="002B4B9A"/>
    <w:rsid w:val="002B537B"/>
    <w:rsid w:val="002B634E"/>
    <w:rsid w:val="002B6A56"/>
    <w:rsid w:val="002B73CF"/>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646"/>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2E3B"/>
    <w:rsid w:val="006437D6"/>
    <w:rsid w:val="00643A7F"/>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527B"/>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27A4"/>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A2"/>
    <w:rsid w:val="008F4AEC"/>
    <w:rsid w:val="008F5FAC"/>
    <w:rsid w:val="008F76DE"/>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7024"/>
    <w:rsid w:val="00BD0623"/>
    <w:rsid w:val="00BD205B"/>
    <w:rsid w:val="00BD2134"/>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F1380"/>
    <w:rsid w:val="00CF22BC"/>
    <w:rsid w:val="00CF35A6"/>
    <w:rsid w:val="00CF45FC"/>
    <w:rsid w:val="00CF516F"/>
    <w:rsid w:val="00CF60BC"/>
    <w:rsid w:val="00CF64E9"/>
    <w:rsid w:val="00D011AE"/>
    <w:rsid w:val="00D01FC9"/>
    <w:rsid w:val="00D02531"/>
    <w:rsid w:val="00D0451F"/>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311D"/>
    <w:rsid w:val="00F34F7B"/>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815F9-FA66-48EF-A88A-958B0E97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553</Words>
  <Characters>2960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13</cp:revision>
  <cp:lastPrinted>2022-04-01T01:11:00Z</cp:lastPrinted>
  <dcterms:created xsi:type="dcterms:W3CDTF">2019-12-26T15:43:00Z</dcterms:created>
  <dcterms:modified xsi:type="dcterms:W3CDTF">2022-04-01T01:12:00Z</dcterms:modified>
</cp:coreProperties>
</file>